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F2D9C">
      <w:pPr>
        <w:ind w:firstLine="643" w:firstLineChars="200"/>
        <w:jc w:val="center"/>
        <w:rPr>
          <w:rFonts w:hint="eastAsia" w:eastAsiaTheme="minorEastAsia"/>
          <w:b/>
          <w:color w:val="auto"/>
          <w:sz w:val="32"/>
          <w:szCs w:val="32"/>
          <w:lang w:eastAsia="zh-CN"/>
        </w:rPr>
      </w:pPr>
      <w:r>
        <w:rPr>
          <w:rStyle w:val="6"/>
          <w:b/>
          <w:color w:val="auto"/>
          <w:sz w:val="32"/>
          <w:szCs w:val="32"/>
        </w:rPr>
        <w:t>《世界宗教文化》投稿须知</w:t>
      </w:r>
      <w:r>
        <w:rPr>
          <w:rStyle w:val="6"/>
          <w:rFonts w:hint="eastAsia"/>
          <w:b/>
          <w:color w:val="auto"/>
          <w:sz w:val="32"/>
          <w:szCs w:val="32"/>
          <w:lang w:eastAsia="zh-CN"/>
        </w:rPr>
        <w:t>（</w:t>
      </w:r>
      <w:r>
        <w:rPr>
          <w:rStyle w:val="6"/>
          <w:rFonts w:hint="eastAsia"/>
          <w:b/>
          <w:color w:val="auto"/>
          <w:sz w:val="32"/>
          <w:szCs w:val="32"/>
          <w:lang w:val="en-US" w:eastAsia="zh-CN"/>
        </w:rPr>
        <w:t>2026版</w:t>
      </w:r>
      <w:r>
        <w:rPr>
          <w:rStyle w:val="6"/>
          <w:rFonts w:hint="eastAsia"/>
          <w:b/>
          <w:color w:val="auto"/>
          <w:sz w:val="32"/>
          <w:szCs w:val="32"/>
          <w:lang w:eastAsia="zh-CN"/>
        </w:rPr>
        <w:t>）</w:t>
      </w:r>
    </w:p>
    <w:p w14:paraId="78F399F9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由中国社科院世界宗教研究所创办的《世界宗教文化》，热诚欢迎海内外作者投寄稿件或推荐优秀作品。为保证学术研究成果的原创性和严谨性，倡导良好的学术风气，推进学术规范建设，敬请作者赐稿时遵照如下规定：</w:t>
      </w:r>
    </w:p>
    <w:p w14:paraId="305A93F4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第一，所投稿件须系作者独立研究完成之作品，对他人知识产权有充分尊重，无任何违法、违纪和违反学术道德的内容。按学术研究规范和《世界宗教文化》编辑部的有关规定，认真核对引文、注释和文中使用的其他资料，确保引文、注释和相关资料准确无误。如使用转引资料，应实事求是注明转引出处。本刊采用页下注（脚注）方式，引文出处注请遵照《〈世界宗教文化〉关于引文注释的规定》。（详见附录）</w:t>
      </w:r>
    </w:p>
    <w:p w14:paraId="0CC59A06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第二，凡向本刊投稿，承诺该文未一稿多投，包括未局部改动后投寄其他报刊，并保证不会将该文主要观点或基本内容先于《世界宗教文化》在其他公开或内部出版物（包括期刊、报纸、专著、论文集、学术网站等）上发表。如未注明非专有许可，即视为专有许可。</w:t>
      </w:r>
    </w:p>
    <w:p w14:paraId="7A5B51A4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第三，所投稿件应遵守相关的国家标准和法规，如关于标点符号和数字使用的规范等。</w:t>
      </w:r>
    </w:p>
    <w:p w14:paraId="77948AC1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第四，本刊整体版权属《世界宗教文化》编辑部所有，未经许可，不得以任何方式复制、选编。经我方许可需在其他出版物上发表或转载的，须特别注明“本文首发于《世界宗教文化》”。</w:t>
      </w:r>
    </w:p>
    <w:p w14:paraId="1F1D2557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第五，本刊严把学术关，实行双向匿名评审制。</w:t>
      </w:r>
      <w:r>
        <w:rPr>
          <w:color w:val="auto"/>
        </w:rPr>
        <w:t> </w:t>
      </w:r>
    </w:p>
    <w:p w14:paraId="6A71EAC5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第六，文章必须包括：</w:t>
      </w:r>
      <w:r>
        <w:rPr>
          <w:rFonts w:hint="eastAsia"/>
          <w:b/>
          <w:bCs/>
          <w:color w:val="auto"/>
          <w:szCs w:val="21"/>
        </w:rPr>
        <w:t>内容提要、关键词、作者简介，以及英文题目</w:t>
      </w:r>
      <w:r>
        <w:rPr>
          <w:rFonts w:hint="eastAsia"/>
          <w:color w:val="auto"/>
          <w:szCs w:val="21"/>
        </w:rPr>
        <w:t>。内容提要应能客观地反映论文主要信息，一般不超过200字；关键词一般不超过5个词；作者简介请注明</w:t>
      </w:r>
      <w:r>
        <w:rPr>
          <w:rFonts w:hint="eastAsia"/>
          <w:b/>
          <w:bCs/>
          <w:color w:val="auto"/>
          <w:szCs w:val="21"/>
        </w:rPr>
        <w:t>作者姓名、单位、职称</w:t>
      </w:r>
      <w:r>
        <w:rPr>
          <w:rFonts w:hint="eastAsia"/>
          <w:b w:val="0"/>
          <w:bCs w:val="0"/>
          <w:color w:val="auto"/>
          <w:szCs w:val="21"/>
        </w:rPr>
        <w:t>等。</w:t>
      </w:r>
      <w:r>
        <w:rPr>
          <w:color w:val="auto"/>
        </w:rPr>
        <w:t> </w:t>
      </w:r>
    </w:p>
    <w:p w14:paraId="389F549F">
      <w:pPr>
        <w:spacing w:before="100" w:beforeAutospacing="1" w:after="100" w:afterAutospacing="1"/>
        <w:ind w:firstLine="420" w:firstLineChars="200"/>
        <w:rPr>
          <w:rFonts w:hint="eastAsia"/>
          <w:color w:val="auto"/>
          <w:szCs w:val="21"/>
          <w:lang w:eastAsia="zh-CN"/>
        </w:rPr>
      </w:pPr>
      <w:r>
        <w:rPr>
          <w:rFonts w:hint="eastAsia"/>
          <w:color w:val="auto"/>
          <w:szCs w:val="21"/>
        </w:rPr>
        <w:t>第七，</w:t>
      </w:r>
      <w:r>
        <w:rPr>
          <w:rFonts w:hint="eastAsia"/>
          <w:color w:val="auto"/>
          <w:szCs w:val="21"/>
          <w:lang w:eastAsia="zh-CN"/>
        </w:rPr>
        <w:t>标准文章所隶属的课题时，以星号“</w:t>
      </w:r>
      <w:r>
        <w:rPr>
          <w:rFonts w:hint="default" w:ascii="Times New Roman" w:hAnsi="Times New Roman" w:cs="Times New Roman"/>
          <w:color w:val="auto"/>
          <w:szCs w:val="21"/>
          <w:lang w:eastAsia="zh-CN"/>
        </w:rPr>
        <w:t>*</w:t>
      </w:r>
      <w:r>
        <w:rPr>
          <w:rFonts w:hint="eastAsia"/>
          <w:color w:val="auto"/>
          <w:szCs w:val="21"/>
          <w:lang w:eastAsia="zh-CN"/>
        </w:rPr>
        <w:t>”附页下注于主标题后，如</w:t>
      </w:r>
    </w:p>
    <w:p w14:paraId="43640AFA">
      <w:pPr>
        <w:spacing w:before="100" w:beforeAutospacing="1" w:after="100" w:afterAutospacing="1"/>
        <w:ind w:firstLine="420" w:firstLineChars="200"/>
        <w:jc w:val="center"/>
        <w:rPr>
          <w:rFonts w:hint="eastAsia"/>
          <w:color w:val="auto"/>
          <w:szCs w:val="21"/>
          <w:lang w:val="en-US" w:eastAsia="zh-CN"/>
        </w:rPr>
      </w:pPr>
      <w:r>
        <w:rPr>
          <w:color w:val="auto"/>
        </w:rPr>
        <w:drawing>
          <wp:inline distT="0" distB="0" distL="114300" distR="114300">
            <wp:extent cx="2823210" cy="1632585"/>
            <wp:effectExtent l="0" t="0" r="889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3210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9502C">
      <w:pPr>
        <w:spacing w:before="100" w:beforeAutospacing="1" w:after="100" w:afterAutospacing="1"/>
        <w:ind w:firstLine="420" w:firstLineChars="200"/>
        <w:jc w:val="center"/>
        <w:rPr>
          <w:rFonts w:hint="default"/>
          <w:color w:val="auto"/>
          <w:lang w:val="en-US" w:eastAsia="zh-CN"/>
        </w:rPr>
      </w:pPr>
      <w:r>
        <w:rPr>
          <w:color w:val="auto"/>
        </w:rPr>
        <w:drawing>
          <wp:inline distT="0" distB="0" distL="114300" distR="114300">
            <wp:extent cx="2522855" cy="600710"/>
            <wp:effectExtent l="0" t="0" r="444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285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13D26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第</w:t>
      </w:r>
      <w:r>
        <w:rPr>
          <w:rFonts w:hint="eastAsia"/>
          <w:color w:val="auto"/>
          <w:szCs w:val="21"/>
          <w:lang w:val="en-US" w:eastAsia="zh-CN"/>
        </w:rPr>
        <w:t>八</w:t>
      </w:r>
      <w:r>
        <w:rPr>
          <w:rFonts w:hint="eastAsia"/>
          <w:color w:val="auto"/>
          <w:szCs w:val="21"/>
        </w:rPr>
        <w:t>，文稿请参照刊物版式（可在知网下载）。文章使用四级标题，即一 （一） 1 （1）；内文为简体横排，论文为5号宋体通栏，40字×41行，注释格式为当页脚注，采取页下注，注文为小5号宋体。</w:t>
      </w:r>
    </w:p>
    <w:p w14:paraId="737C8F22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第</w:t>
      </w:r>
      <w:r>
        <w:rPr>
          <w:rFonts w:hint="eastAsia"/>
          <w:color w:val="auto"/>
          <w:szCs w:val="21"/>
          <w:lang w:val="en-US" w:eastAsia="zh-CN"/>
        </w:rPr>
        <w:t>九</w:t>
      </w:r>
      <w:r>
        <w:rPr>
          <w:rFonts w:hint="eastAsia"/>
          <w:color w:val="auto"/>
          <w:szCs w:val="21"/>
        </w:rPr>
        <w:t>，我方有权对来稿做文字性修改，如因违背上述规定，而给《世界宗教文化》造成不良影响，将承担全部责任，并接受编辑部采取相应措施予以警示，这些措施包括：停发或追回稿费、书面批评、载名通报、10年内禁止本人的任何作品在本刊物上发表，或其他适当警示措施。</w:t>
      </w:r>
      <w:r>
        <w:rPr>
          <w:color w:val="auto"/>
          <w:szCs w:val="21"/>
        </w:rPr>
        <w:t> </w:t>
      </w:r>
    </w:p>
    <w:p w14:paraId="37862E34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第</w:t>
      </w:r>
      <w:r>
        <w:rPr>
          <w:rFonts w:hint="eastAsia"/>
          <w:color w:val="auto"/>
          <w:szCs w:val="21"/>
          <w:lang w:val="en-US" w:eastAsia="zh-CN"/>
        </w:rPr>
        <w:t>十</w:t>
      </w:r>
      <w:r>
        <w:rPr>
          <w:rFonts w:hint="eastAsia"/>
          <w:color w:val="auto"/>
          <w:szCs w:val="21"/>
        </w:rPr>
        <w:t>，稿件一经采用，即付稿酬并寄样刊。</w:t>
      </w:r>
      <w:r>
        <w:rPr>
          <w:color w:val="auto"/>
          <w:szCs w:val="21"/>
        </w:rPr>
        <w:t> </w:t>
      </w:r>
    </w:p>
    <w:p w14:paraId="052AA9F4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第十</w:t>
      </w:r>
      <w:r>
        <w:rPr>
          <w:rFonts w:hint="eastAsia"/>
          <w:color w:val="auto"/>
          <w:szCs w:val="21"/>
          <w:lang w:val="en-US" w:eastAsia="zh-CN"/>
        </w:rPr>
        <w:t>一</w:t>
      </w:r>
      <w:r>
        <w:rPr>
          <w:rFonts w:hint="eastAsia"/>
          <w:color w:val="auto"/>
          <w:szCs w:val="21"/>
        </w:rPr>
        <w:t>，本杂志</w:t>
      </w:r>
      <w:r>
        <w:rPr>
          <w:rFonts w:hint="eastAsia"/>
          <w:color w:val="auto"/>
          <w:szCs w:val="21"/>
          <w:lang w:eastAsia="zh-CN"/>
        </w:rPr>
        <w:t>自</w:t>
      </w:r>
      <w:r>
        <w:rPr>
          <w:rFonts w:hint="eastAsia"/>
          <w:color w:val="auto"/>
          <w:szCs w:val="21"/>
          <w:lang w:val="en-US" w:eastAsia="zh-CN"/>
        </w:rPr>
        <w:t>2026年4</w:t>
      </w:r>
      <w:r>
        <w:rPr>
          <w:rFonts w:hint="eastAsia"/>
          <w:color w:val="auto"/>
          <w:szCs w:val="21"/>
          <w:lang w:eastAsia="zh-CN"/>
        </w:rPr>
        <w:t>月</w:t>
      </w:r>
      <w:r>
        <w:rPr>
          <w:rFonts w:hint="eastAsia"/>
          <w:color w:val="auto"/>
          <w:szCs w:val="21"/>
          <w:lang w:val="en-US" w:eastAsia="zh-CN"/>
        </w:rPr>
        <w:t>1</w:t>
      </w:r>
      <w:r>
        <w:rPr>
          <w:rFonts w:hint="eastAsia"/>
          <w:color w:val="auto"/>
          <w:szCs w:val="21"/>
          <w:lang w:eastAsia="zh-CN"/>
        </w:rPr>
        <w:t>日起使用网上投稿系统，请作者</w:t>
      </w:r>
      <w:r>
        <w:rPr>
          <w:rFonts w:hint="eastAsia"/>
          <w:color w:val="auto"/>
          <w:szCs w:val="21"/>
          <w:lang w:val="en-US" w:eastAsia="zh-CN"/>
        </w:rPr>
        <w:t>登陆</w:t>
      </w:r>
      <w:r>
        <w:rPr>
          <w:rFonts w:hint="eastAsia"/>
          <w:color w:val="auto"/>
          <w:szCs w:val="21"/>
          <w:lang w:eastAsia="zh-CN"/>
        </w:rPr>
        <w:fldChar w:fldCharType="begin"/>
      </w:r>
      <w:r>
        <w:rPr>
          <w:rFonts w:hint="eastAsia"/>
          <w:color w:val="auto"/>
          <w:szCs w:val="21"/>
          <w:lang w:eastAsia="zh-CN"/>
        </w:rPr>
        <w:instrText xml:space="preserve"> HYPERLINK "https://reli.cbpt.cnki.net/" </w:instrText>
      </w:r>
      <w:r>
        <w:rPr>
          <w:rFonts w:hint="eastAsia"/>
          <w:color w:val="auto"/>
          <w:szCs w:val="21"/>
          <w:lang w:eastAsia="zh-CN"/>
        </w:rPr>
        <w:fldChar w:fldCharType="separate"/>
      </w:r>
      <w:r>
        <w:rPr>
          <w:rStyle w:val="5"/>
          <w:rFonts w:hint="eastAsia"/>
          <w:color w:val="auto"/>
          <w:szCs w:val="21"/>
          <w:lang w:eastAsia="zh-CN"/>
        </w:rPr>
        <w:t>https://reli.cbpt.cnki.net/</w:t>
      </w:r>
      <w:r>
        <w:rPr>
          <w:rFonts w:hint="eastAsia"/>
          <w:color w:val="auto"/>
          <w:szCs w:val="21"/>
          <w:lang w:eastAsia="zh-CN"/>
        </w:rPr>
        <w:fldChar w:fldCharType="end"/>
      </w:r>
      <w:r>
        <w:rPr>
          <w:rFonts w:hint="eastAsia"/>
          <w:color w:val="auto"/>
          <w:szCs w:val="21"/>
          <w:lang w:val="en-US" w:eastAsia="zh-CN"/>
        </w:rPr>
        <w:t xml:space="preserve"> 依提示注冊、登錄、提交论文。原有的投稿邮箱（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"mailto:religion@cass.org.cn" </w:instrText>
      </w:r>
      <w:r>
        <w:rPr>
          <w:color w:val="auto"/>
        </w:rPr>
        <w:fldChar w:fldCharType="separate"/>
      </w:r>
      <w:r>
        <w:rPr>
          <w:rStyle w:val="5"/>
          <w:rFonts w:hint="eastAsia"/>
          <w:color w:val="auto"/>
          <w:szCs w:val="21"/>
        </w:rPr>
        <w:t>religion@cass.org.cn</w:t>
      </w:r>
      <w:r>
        <w:rPr>
          <w:rStyle w:val="5"/>
          <w:rFonts w:hint="eastAsia"/>
          <w:color w:val="auto"/>
          <w:szCs w:val="21"/>
        </w:rPr>
        <w:fldChar w:fldCharType="end"/>
      </w:r>
      <w:r>
        <w:rPr>
          <w:rFonts w:hint="eastAsia"/>
          <w:color w:val="auto"/>
          <w:szCs w:val="21"/>
          <w:lang w:val="en-US" w:eastAsia="zh-CN"/>
        </w:rPr>
        <w:t>）继续使用至2026年6月30日为止。</w:t>
      </w:r>
      <w:r>
        <w:rPr>
          <w:rFonts w:hint="eastAsia"/>
          <w:color w:val="auto"/>
        </w:rPr>
        <w:t>来稿</w:t>
      </w:r>
      <w:r>
        <w:rPr>
          <w:rFonts w:hint="eastAsia"/>
          <w:color w:val="auto"/>
          <w:lang w:eastAsia="zh-CN"/>
        </w:rPr>
        <w:t>文件</w:t>
      </w:r>
      <w:r>
        <w:rPr>
          <w:rFonts w:hint="eastAsia"/>
          <w:color w:val="auto"/>
        </w:rPr>
        <w:t>主题：姓名+文章题目（题目较长可省略副标题）</w:t>
      </w:r>
      <w:r>
        <w:rPr>
          <w:rFonts w:hint="eastAsia"/>
          <w:color w:val="auto"/>
          <w:lang w:eastAsia="zh-CN"/>
        </w:rPr>
        <w:t>，附件</w:t>
      </w:r>
      <w:r>
        <w:rPr>
          <w:rFonts w:hint="eastAsia"/>
          <w:color w:val="auto"/>
        </w:rPr>
        <w:t>中请注明姓名，所在院校、职称、研究方向、研究成果、联系方式等信息。投稿文章请用word文档。</w:t>
      </w:r>
    </w:p>
    <w:p w14:paraId="6FC177B5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 xml:space="preserve">附： </w:t>
      </w:r>
    </w:p>
    <w:p w14:paraId="25B34508">
      <w:pPr>
        <w:spacing w:before="100" w:beforeAutospacing="1" w:after="100" w:afterAutospacing="1"/>
        <w:ind w:firstLine="422" w:firstLineChars="200"/>
        <w:jc w:val="center"/>
        <w:rPr>
          <w:color w:val="auto"/>
        </w:rPr>
      </w:pPr>
      <w:r>
        <w:rPr>
          <w:rFonts w:hint="eastAsia"/>
          <w:b/>
          <w:bCs/>
          <w:color w:val="auto"/>
          <w:szCs w:val="21"/>
        </w:rPr>
        <w:t>《世界宗教文化》引文注释规定</w:t>
      </w:r>
      <w:r>
        <w:rPr>
          <w:color w:val="auto"/>
        </w:rPr>
        <w:t> </w:t>
      </w:r>
      <w:bookmarkStart w:id="0" w:name="_GoBack"/>
      <w:bookmarkEnd w:id="0"/>
    </w:p>
    <w:p w14:paraId="20B018DF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为便于学术交流和推进本社期刊编辑工作的规范化，在研究和借鉴其他人文社会科学学术期刊注释规定的基础上，特制定《世界宗教文化》引文注释规范如下：</w:t>
      </w:r>
      <w:r>
        <w:rPr>
          <w:color w:val="auto"/>
        </w:rPr>
        <w:t> </w:t>
      </w:r>
    </w:p>
    <w:p w14:paraId="0EDFDD28">
      <w:pPr>
        <w:spacing w:before="100" w:beforeAutospacing="1" w:after="100" w:afterAutospacing="1"/>
        <w:ind w:firstLine="422" w:firstLineChars="200"/>
        <w:rPr>
          <w:color w:val="auto"/>
        </w:rPr>
      </w:pPr>
      <w:r>
        <w:rPr>
          <w:rFonts w:hint="eastAsia"/>
          <w:b/>
          <w:bCs/>
          <w:color w:val="auto"/>
          <w:szCs w:val="21"/>
        </w:rPr>
        <w:t>一、注释体例及标注位置</w:t>
      </w:r>
    </w:p>
    <w:p w14:paraId="7C3D0E11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文献引证方式采用脚注体例。注释序号用①，②，③……标识，每页单独排序。正文中的注释序号标注位置分为两种情况：1.注释内容为一个完整句子时，脚注序号放在标点符号之后；2.注释内容为词或词组、分句等不完整的句子时，放在标点符号之前。</w:t>
      </w:r>
    </w:p>
    <w:p w14:paraId="22E296BA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示例：</w:t>
      </w:r>
    </w:p>
    <w:p w14:paraId="3D2FDE68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1.“从宗教的眼光来看，人的认识是有限的，却面临着一个无限的宇宙；人的活动时局部的，却推断了一种整体的连接；人的存在是相对的，却感触到一个绝对的存在；人的生命是短暂的，却体会出一种永恒。”</w:t>
      </w:r>
      <w:r>
        <w:rPr>
          <w:rFonts w:hint="eastAsia"/>
          <w:color w:val="auto"/>
          <w:szCs w:val="21"/>
          <w:vertAlign w:val="superscript"/>
        </w:rPr>
        <w:t>①</w:t>
      </w:r>
    </w:p>
    <w:p w14:paraId="7464B81A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  <w:u w:val="single"/>
          <w:vertAlign w:val="superscript"/>
        </w:rPr>
        <w:t xml:space="preserve">                             </w:t>
      </w:r>
    </w:p>
    <w:p w14:paraId="61B706FF">
      <w:pPr>
        <w:spacing w:before="100" w:beforeAutospacing="1" w:after="100" w:afterAutospacing="1"/>
        <w:ind w:left="780" w:firstLine="422" w:firstLineChars="200"/>
        <w:rPr>
          <w:color w:val="auto"/>
        </w:rPr>
      </w:pPr>
      <w:r>
        <w:rPr>
          <w:rFonts w:hint="eastAsia"/>
          <w:b/>
          <w:bCs/>
          <w:color w:val="auto"/>
          <w:szCs w:val="21"/>
        </w:rPr>
        <w:t>① 卓新平：《宗教与文化》，人民出版社1988年，第196—197页。</w:t>
      </w:r>
    </w:p>
    <w:p w14:paraId="0DDF9E07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2.“坚持和发展马克思主义宗教观是在新世纪坚持解放思想、深化改革开放的重要组成部分”</w:t>
      </w:r>
      <w:r>
        <w:rPr>
          <w:rFonts w:hint="eastAsia"/>
          <w:color w:val="auto"/>
          <w:szCs w:val="21"/>
          <w:vertAlign w:val="superscript"/>
        </w:rPr>
        <w:t xml:space="preserve"> ①</w:t>
      </w:r>
      <w:r>
        <w:rPr>
          <w:rFonts w:hint="eastAsia"/>
          <w:color w:val="auto"/>
          <w:szCs w:val="21"/>
        </w:rPr>
        <w:t>，因此新时期的宗教研究，更要把坚持马克思主义宗教观放在首位。</w:t>
      </w:r>
    </w:p>
    <w:p w14:paraId="1F01133E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  <w:u w:val="single"/>
          <w:vertAlign w:val="superscript"/>
        </w:rPr>
        <w:t xml:space="preserve">                             </w:t>
      </w:r>
    </w:p>
    <w:p w14:paraId="38BAF477">
      <w:pPr>
        <w:spacing w:before="100" w:beforeAutospacing="1" w:after="100" w:afterAutospacing="1"/>
        <w:ind w:left="780" w:firstLine="422" w:firstLineChars="200"/>
        <w:rPr>
          <w:b/>
          <w:bCs/>
          <w:color w:val="auto"/>
        </w:rPr>
      </w:pPr>
      <w:r>
        <w:rPr>
          <w:rFonts w:hint="eastAsia"/>
          <w:b/>
          <w:bCs/>
          <w:color w:val="auto"/>
          <w:szCs w:val="21"/>
        </w:rPr>
        <w:t>① 金泽：《立足中国宗教国情，坚持和发展马克思主义宗教观》，《世界宗教文化》2013年第6期。</w:t>
      </w:r>
      <w:r>
        <w:rPr>
          <w:b/>
          <w:bCs/>
          <w:color w:val="auto"/>
        </w:rPr>
        <w:t> </w:t>
      </w:r>
    </w:p>
    <w:p w14:paraId="5B4A06CE">
      <w:pPr>
        <w:spacing w:before="100" w:beforeAutospacing="1" w:after="100" w:afterAutospacing="1"/>
        <w:ind w:firstLine="422" w:firstLineChars="200"/>
        <w:rPr>
          <w:color w:val="auto"/>
        </w:rPr>
      </w:pPr>
      <w:r>
        <w:rPr>
          <w:rFonts w:hint="eastAsia"/>
          <w:b/>
          <w:bCs/>
          <w:color w:val="auto"/>
          <w:szCs w:val="21"/>
        </w:rPr>
        <w:t>二、注释的标注格式</w:t>
      </w:r>
    </w:p>
    <w:p w14:paraId="0FB00B0C">
      <w:pPr>
        <w:spacing w:before="100" w:beforeAutospacing="1" w:after="100" w:afterAutospacing="1"/>
        <w:ind w:firstLine="422" w:firstLineChars="200"/>
        <w:rPr>
          <w:color w:val="auto"/>
        </w:rPr>
      </w:pPr>
      <w:r>
        <w:rPr>
          <w:rFonts w:hint="eastAsia"/>
          <w:b/>
          <w:bCs/>
          <w:color w:val="auto"/>
          <w:szCs w:val="21"/>
        </w:rPr>
        <w:t>（一）非连续出版物</w:t>
      </w:r>
    </w:p>
    <w:p w14:paraId="50B35C09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1.</w:t>
      </w:r>
      <w:r>
        <w:rPr>
          <w:rFonts w:hint="eastAsia"/>
          <w:color w:val="auto"/>
          <w:szCs w:val="21"/>
          <w:lang w:val="en-US" w:eastAsia="zh-CN"/>
        </w:rPr>
        <w:t>现代学术</w:t>
      </w:r>
      <w:r>
        <w:rPr>
          <w:rFonts w:hint="eastAsia"/>
          <w:color w:val="auto"/>
          <w:szCs w:val="21"/>
        </w:rPr>
        <w:t>著作</w:t>
      </w:r>
    </w:p>
    <w:p w14:paraId="7553BF56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标注顺序：责任者与责任方式/文献题名/出版者/出版时间/页码。</w:t>
      </w:r>
    </w:p>
    <w:p w14:paraId="5852E6A8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责任方式为著时，“著”可省略，其他责任方式不可省略。</w:t>
      </w:r>
    </w:p>
    <w:p w14:paraId="32F538F4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引用翻译著作时，将译者置于</w:t>
      </w:r>
      <w:r>
        <w:rPr>
          <w:rFonts w:hint="eastAsia"/>
          <w:color w:val="auto"/>
          <w:szCs w:val="21"/>
          <w:lang w:val="en-US" w:eastAsia="zh-CN"/>
        </w:rPr>
        <w:t>书名</w:t>
      </w:r>
      <w:r>
        <w:rPr>
          <w:rFonts w:hint="eastAsia"/>
          <w:color w:val="auto"/>
          <w:szCs w:val="21"/>
        </w:rPr>
        <w:t>之后。</w:t>
      </w:r>
    </w:p>
    <w:p w14:paraId="34F02799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引用《马克思恩格斯全集》《列宁全集》等经典著作应使用最新版本。</w:t>
      </w:r>
    </w:p>
    <w:p w14:paraId="20F3FF4B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示例：</w:t>
      </w:r>
    </w:p>
    <w:p w14:paraId="596B71BE">
      <w:pPr>
        <w:spacing w:before="100" w:beforeAutospacing="1" w:after="100" w:afterAutospacing="1"/>
        <w:ind w:firstLine="422" w:firstLineChars="200"/>
        <w:rPr>
          <w:b/>
          <w:bCs/>
          <w:color w:val="auto"/>
        </w:rPr>
      </w:pPr>
      <w:r>
        <w:rPr>
          <w:rFonts w:hint="eastAsia"/>
          <w:b/>
          <w:bCs/>
          <w:color w:val="auto"/>
          <w:szCs w:val="21"/>
        </w:rPr>
        <w:t>卓新平：《马克思主义宗教观探究》，中华书局2013年，第43页。</w:t>
      </w:r>
    </w:p>
    <w:p w14:paraId="41CEAC9F">
      <w:pPr>
        <w:spacing w:before="100" w:beforeAutospacing="1" w:after="100" w:afterAutospacing="1"/>
        <w:ind w:firstLine="422" w:firstLineChars="200"/>
        <w:rPr>
          <w:b/>
          <w:bCs/>
          <w:color w:val="auto"/>
        </w:rPr>
      </w:pPr>
      <w:r>
        <w:rPr>
          <w:rFonts w:hint="eastAsia"/>
          <w:b/>
          <w:bCs/>
          <w:color w:val="auto"/>
          <w:szCs w:val="21"/>
        </w:rPr>
        <w:t>[英]鲍伊：《宗教人类学导论》，金泽、何其敏译，中国人民大学出版社2004年，第30页。</w:t>
      </w:r>
    </w:p>
    <w:p w14:paraId="2329AE1B">
      <w:pPr>
        <w:spacing w:before="100" w:beforeAutospacing="1" w:after="100" w:afterAutospacing="1"/>
        <w:ind w:firstLine="422" w:firstLineChars="200"/>
        <w:rPr>
          <w:rFonts w:hint="eastAsia"/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任继愈主编：《中国哲学发展史(先秦卷)》，人民出版社1983年，第25页。</w:t>
      </w:r>
    </w:p>
    <w:p w14:paraId="3C7D90BC">
      <w:pPr>
        <w:spacing w:before="100" w:beforeAutospacing="1" w:after="100" w:afterAutospacing="1"/>
        <w:ind w:firstLine="422" w:firstLineChars="200"/>
        <w:rPr>
          <w:rFonts w:hint="eastAsia"/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《马克思恩格斯全集》第31卷，</w:t>
      </w:r>
      <w:r>
        <w:rPr>
          <w:rFonts w:hint="eastAsia"/>
          <w:b/>
          <w:bCs/>
          <w:color w:val="auto"/>
          <w:szCs w:val="21"/>
          <w:lang w:val="en-US" w:eastAsia="zh-CN"/>
        </w:rPr>
        <w:t>中共中央党史和文献研究院编译，</w:t>
      </w:r>
      <w:r>
        <w:rPr>
          <w:rFonts w:hint="eastAsia"/>
          <w:b/>
          <w:bCs/>
          <w:color w:val="auto"/>
          <w:szCs w:val="21"/>
        </w:rPr>
        <w:t>人民出版社</w:t>
      </w:r>
      <w:r>
        <w:rPr>
          <w:rFonts w:hint="eastAsia"/>
          <w:b/>
          <w:bCs/>
          <w:color w:val="auto"/>
          <w:szCs w:val="21"/>
          <w:lang w:val="en-US" w:eastAsia="zh-CN"/>
        </w:rPr>
        <w:t>2023</w:t>
      </w:r>
      <w:r>
        <w:rPr>
          <w:rFonts w:hint="eastAsia"/>
          <w:b/>
          <w:bCs/>
          <w:color w:val="auto"/>
          <w:szCs w:val="21"/>
        </w:rPr>
        <w:t>年，第46页。</w:t>
      </w:r>
    </w:p>
    <w:p w14:paraId="17517285">
      <w:pPr>
        <w:spacing w:before="100" w:beforeAutospacing="1" w:after="100" w:afterAutospacing="1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  <w:lang w:val="en-US" w:eastAsia="zh-CN"/>
        </w:rPr>
        <w:t>2.</w:t>
      </w:r>
      <w:r>
        <w:rPr>
          <w:rFonts w:hint="eastAsia"/>
          <w:color w:val="auto"/>
          <w:szCs w:val="21"/>
        </w:rPr>
        <w:t>古籍</w:t>
      </w:r>
    </w:p>
    <w:p w14:paraId="00322ADE">
      <w:pPr>
        <w:spacing w:before="100" w:beforeAutospacing="1" w:after="100" w:afterAutospacing="1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　　（1）刻本</w:t>
      </w:r>
    </w:p>
    <w:p w14:paraId="54E71277">
      <w:pPr>
        <w:spacing w:before="100" w:beforeAutospacing="1" w:after="100" w:afterAutospacing="1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　　标注顺序：</w:t>
      </w:r>
      <w:r>
        <w:rPr>
          <w:rFonts w:hint="eastAsia"/>
          <w:color w:val="auto"/>
          <w:szCs w:val="21"/>
          <w:lang w:eastAsia="zh-CN"/>
        </w:rPr>
        <w:t>（</w:t>
      </w:r>
      <w:r>
        <w:rPr>
          <w:rFonts w:hint="eastAsia"/>
          <w:color w:val="auto"/>
          <w:szCs w:val="21"/>
          <w:lang w:val="en-US" w:eastAsia="zh-CN"/>
        </w:rPr>
        <w:t>朝代</w:t>
      </w:r>
      <w:r>
        <w:rPr>
          <w:rFonts w:hint="eastAsia"/>
          <w:color w:val="auto"/>
          <w:szCs w:val="21"/>
          <w:lang w:eastAsia="zh-CN"/>
        </w:rPr>
        <w:t>）</w:t>
      </w:r>
      <w:r>
        <w:rPr>
          <w:rFonts w:hint="eastAsia"/>
          <w:color w:val="auto"/>
          <w:szCs w:val="21"/>
        </w:rPr>
        <w:t>责任者与责任方式/文献题名</w:t>
      </w:r>
      <w:r>
        <w:rPr>
          <w:rFonts w:hint="default"/>
          <w:color w:val="auto"/>
          <w:szCs w:val="21"/>
        </w:rPr>
        <w:t>/</w:t>
      </w:r>
      <w:r>
        <w:rPr>
          <w:rFonts w:hint="eastAsia"/>
          <w:color w:val="auto"/>
          <w:szCs w:val="21"/>
        </w:rPr>
        <w:t>卷次、篇名、部类（选项）/版本、页码。</w:t>
      </w:r>
    </w:p>
    <w:p w14:paraId="4DFDC0E6">
      <w:pPr>
        <w:spacing w:before="100" w:beforeAutospacing="1" w:after="100" w:afterAutospacing="1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　　部类名及篇名用书名号表示，其中不同层次可用中圆点隔开，原序号仍用汉字数字，下同。</w:t>
      </w:r>
    </w:p>
    <w:p w14:paraId="4AE1A8FE">
      <w:pPr>
        <w:spacing w:before="100" w:beforeAutospacing="1" w:after="100" w:afterAutospacing="1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　　示例：</w:t>
      </w:r>
    </w:p>
    <w:p w14:paraId="200AD63D">
      <w:pPr>
        <w:spacing w:before="100" w:beforeAutospacing="1" w:after="100" w:afterAutospacing="1"/>
        <w:ind w:firstLine="420" w:firstLineChars="200"/>
        <w:rPr>
          <w:rFonts w:hint="eastAsia"/>
          <w:b/>
          <w:bCs/>
          <w:color w:val="auto"/>
          <w:szCs w:val="21"/>
        </w:rPr>
      </w:pPr>
      <w:r>
        <w:rPr>
          <w:rFonts w:hint="eastAsia"/>
          <w:color w:val="auto"/>
          <w:szCs w:val="21"/>
        </w:rPr>
        <w:t>　　</w:t>
      </w:r>
      <w:r>
        <w:rPr>
          <w:rFonts w:hint="eastAsia"/>
          <w:b/>
          <w:bCs/>
          <w:color w:val="auto"/>
          <w:szCs w:val="21"/>
          <w:lang w:eastAsia="zh-CN"/>
        </w:rPr>
        <w:t>（</w:t>
      </w:r>
      <w:r>
        <w:rPr>
          <w:rFonts w:hint="eastAsia"/>
          <w:b/>
          <w:bCs/>
          <w:color w:val="auto"/>
          <w:szCs w:val="21"/>
          <w:lang w:val="en-US" w:eastAsia="zh-CN"/>
        </w:rPr>
        <w:t>清</w:t>
      </w:r>
      <w:r>
        <w:rPr>
          <w:rFonts w:hint="eastAsia"/>
          <w:b/>
          <w:bCs/>
          <w:color w:val="auto"/>
          <w:szCs w:val="21"/>
          <w:lang w:eastAsia="zh-CN"/>
        </w:rPr>
        <w:t>）</w:t>
      </w:r>
      <w:r>
        <w:rPr>
          <w:rFonts w:hint="eastAsia"/>
          <w:b/>
          <w:bCs/>
          <w:color w:val="auto"/>
          <w:szCs w:val="21"/>
        </w:rPr>
        <w:t>姚际恒：《古今伪书考》卷</w:t>
      </w:r>
      <w:r>
        <w:rPr>
          <w:rFonts w:hint="eastAsia"/>
          <w:b/>
          <w:bCs/>
          <w:color w:val="auto"/>
          <w:szCs w:val="21"/>
          <w:lang w:val="en-US" w:eastAsia="zh-CN"/>
        </w:rPr>
        <w:t>3</w:t>
      </w:r>
      <w:r>
        <w:rPr>
          <w:rFonts w:hint="eastAsia"/>
          <w:b/>
          <w:bCs/>
          <w:color w:val="auto"/>
          <w:szCs w:val="21"/>
        </w:rPr>
        <w:t>，光绪三年苏州文学山房活字本，第9页。</w:t>
      </w:r>
    </w:p>
    <w:p w14:paraId="75FE45DF">
      <w:pPr>
        <w:spacing w:before="100" w:beforeAutospacing="1" w:after="100" w:afterAutospacing="1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　　（2）点校本、整理本</w:t>
      </w:r>
    </w:p>
    <w:p w14:paraId="2AF18A28">
      <w:pPr>
        <w:spacing w:before="100" w:beforeAutospacing="1" w:after="100" w:afterAutospacing="1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　　标注顺序：责任者与责任方式/文献题名/卷次、篇名、部类（选项）/出版者/出版时间/页码。可在出版时间后注明“标点本”“整理本”</w:t>
      </w:r>
      <w:r>
        <w:rPr>
          <w:rFonts w:hint="eastAsia"/>
          <w:color w:val="auto"/>
          <w:szCs w:val="21"/>
          <w:lang w:val="en-US" w:eastAsia="zh-Hans"/>
        </w:rPr>
        <w:t>等</w:t>
      </w:r>
      <w:r>
        <w:rPr>
          <w:rFonts w:hint="eastAsia"/>
          <w:color w:val="auto"/>
          <w:szCs w:val="21"/>
        </w:rPr>
        <w:t>。</w:t>
      </w:r>
    </w:p>
    <w:p w14:paraId="5B7B2EE3">
      <w:pPr>
        <w:spacing w:before="100" w:beforeAutospacing="1" w:after="100" w:afterAutospacing="1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　　示例：</w:t>
      </w:r>
    </w:p>
    <w:p w14:paraId="538A885A">
      <w:pPr>
        <w:spacing w:before="100" w:beforeAutospacing="1" w:after="100" w:afterAutospacing="1"/>
        <w:ind w:left="420" w:leftChars="200" w:firstLine="422" w:firstLineChars="200"/>
        <w:rPr>
          <w:rFonts w:hint="eastAsia"/>
          <w:b/>
          <w:bCs/>
          <w:color w:val="auto"/>
          <w:szCs w:val="21"/>
          <w:lang w:eastAsia="zh-CN"/>
        </w:rPr>
      </w:pPr>
      <w:r>
        <w:rPr>
          <w:rFonts w:hint="eastAsia"/>
          <w:b/>
          <w:bCs/>
          <w:color w:val="auto"/>
          <w:szCs w:val="21"/>
          <w:lang w:val="en-US" w:eastAsia="zh-CN"/>
        </w:rPr>
        <w:t>（梁）释慧皎：《高僧传》卷 9《佛图澄传》，汤用彤点校，中华书局1992年，第 345 页。</w:t>
      </w:r>
    </w:p>
    <w:p w14:paraId="5E550CF7">
      <w:pPr>
        <w:spacing w:before="100" w:beforeAutospacing="1" w:after="100" w:afterAutospacing="1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　　（3）影印本</w:t>
      </w:r>
    </w:p>
    <w:p w14:paraId="309A1DF8">
      <w:pPr>
        <w:spacing w:before="100" w:beforeAutospacing="1" w:after="100" w:afterAutospacing="1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　　标注顺序：责任者与责任方式/文献题名/卷次、篇名、部类（选项）/出版者/出版时间/（影印）页码。可在出版时间后注明“影印本”。</w:t>
      </w:r>
    </w:p>
    <w:p w14:paraId="427DC720">
      <w:pPr>
        <w:spacing w:before="100" w:beforeAutospacing="1" w:after="100" w:afterAutospacing="1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　　示例：</w:t>
      </w:r>
    </w:p>
    <w:p w14:paraId="00047199">
      <w:pPr>
        <w:spacing w:before="100" w:beforeAutospacing="1" w:after="100" w:afterAutospacing="1"/>
        <w:ind w:firstLine="420" w:firstLineChars="200"/>
        <w:rPr>
          <w:rFonts w:hint="eastAsia"/>
          <w:b/>
          <w:bCs/>
          <w:color w:val="auto"/>
          <w:szCs w:val="21"/>
          <w:lang w:eastAsia="zh-CN"/>
        </w:rPr>
      </w:pPr>
      <w:r>
        <w:rPr>
          <w:rFonts w:hint="eastAsia"/>
          <w:color w:val="auto"/>
          <w:szCs w:val="21"/>
        </w:rPr>
        <w:t>　</w:t>
      </w:r>
      <w:r>
        <w:rPr>
          <w:rFonts w:hint="eastAsia"/>
          <w:b/>
          <w:bCs/>
          <w:color w:val="auto"/>
          <w:szCs w:val="21"/>
          <w:lang w:eastAsia="zh-CN"/>
        </w:rPr>
        <w:t>　（</w:t>
      </w:r>
      <w:r>
        <w:rPr>
          <w:rFonts w:hint="eastAsia"/>
          <w:b/>
          <w:bCs/>
          <w:color w:val="auto"/>
          <w:szCs w:val="21"/>
          <w:lang w:val="en-US" w:eastAsia="zh-CN"/>
        </w:rPr>
        <w:t>清</w:t>
      </w:r>
      <w:r>
        <w:rPr>
          <w:rFonts w:hint="eastAsia"/>
          <w:b/>
          <w:bCs/>
          <w:color w:val="auto"/>
          <w:szCs w:val="21"/>
          <w:lang w:eastAsia="zh-CN"/>
        </w:rPr>
        <w:t>）杨钟羲：《雪桥诗话续集》卷5，辽沈书社1991年影印本，上册，第461页。</w:t>
      </w:r>
    </w:p>
    <w:p w14:paraId="46383CFC">
      <w:pPr>
        <w:spacing w:before="100" w:beforeAutospacing="1" w:after="100" w:afterAutospacing="1"/>
        <w:ind w:left="420" w:leftChars="200" w:firstLine="0" w:firstLineChars="0"/>
        <w:rPr>
          <w:rFonts w:hint="eastAsia"/>
          <w:b/>
          <w:bCs/>
          <w:color w:val="auto"/>
          <w:szCs w:val="21"/>
          <w:lang w:eastAsia="zh-CN"/>
        </w:rPr>
      </w:pPr>
      <w:r>
        <w:rPr>
          <w:rFonts w:hint="eastAsia"/>
          <w:b/>
          <w:bCs/>
          <w:color w:val="auto"/>
          <w:szCs w:val="21"/>
          <w:lang w:eastAsia="zh-CN"/>
        </w:rPr>
        <w:t>　　《太平御览》卷690《服章部七》引《魏台访议》，中华书局1985年影印本，第3册，第3080页。</w:t>
      </w:r>
    </w:p>
    <w:p w14:paraId="72749954">
      <w:pPr>
        <w:spacing w:before="100" w:beforeAutospacing="1" w:after="100" w:afterAutospacing="1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　　（4）析出文献</w:t>
      </w:r>
    </w:p>
    <w:p w14:paraId="6E70F85F">
      <w:pPr>
        <w:spacing w:before="100" w:beforeAutospacing="1" w:after="100" w:afterAutospacing="1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　　标注顺序：责任者/析出文献题名/文集责任者与责任方式/文集题名/卷次/丛书项（选项，丛书名用书名号）/版本或出版信息/页码。</w:t>
      </w:r>
    </w:p>
    <w:p w14:paraId="59F2F75C">
      <w:pPr>
        <w:spacing w:before="100" w:beforeAutospacing="1" w:after="100" w:afterAutospacing="1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　　示例：</w:t>
      </w:r>
    </w:p>
    <w:p w14:paraId="0FE30D53">
      <w:pPr>
        <w:spacing w:before="100" w:beforeAutospacing="1" w:after="100" w:afterAutospacing="1"/>
        <w:ind w:firstLine="420" w:firstLineChars="200"/>
        <w:rPr>
          <w:rFonts w:hint="eastAsia"/>
          <w:b/>
          <w:bCs/>
          <w:color w:val="auto"/>
          <w:szCs w:val="21"/>
          <w:lang w:eastAsia="zh-CN"/>
        </w:rPr>
      </w:pPr>
      <w:r>
        <w:rPr>
          <w:rFonts w:hint="eastAsia"/>
          <w:color w:val="auto"/>
          <w:szCs w:val="21"/>
        </w:rPr>
        <w:t>　</w:t>
      </w:r>
      <w:r>
        <w:rPr>
          <w:rFonts w:hint="eastAsia"/>
          <w:b/>
          <w:bCs/>
          <w:color w:val="auto"/>
          <w:szCs w:val="21"/>
          <w:lang w:eastAsia="zh-CN"/>
        </w:rPr>
        <w:t>　（</w:t>
      </w:r>
      <w:r>
        <w:rPr>
          <w:rFonts w:hint="eastAsia"/>
          <w:b/>
          <w:bCs/>
          <w:color w:val="auto"/>
          <w:szCs w:val="21"/>
          <w:lang w:val="en-US" w:eastAsia="zh-CN"/>
        </w:rPr>
        <w:t>明</w:t>
      </w:r>
      <w:r>
        <w:rPr>
          <w:rFonts w:hint="eastAsia"/>
          <w:b/>
          <w:bCs/>
          <w:color w:val="auto"/>
          <w:szCs w:val="21"/>
          <w:lang w:eastAsia="zh-CN"/>
        </w:rPr>
        <w:t>）管志道：《续问辨牍》卷2《答屠仪部赤水丈书》，《四库全书存目丛书》，齐鲁书社1997年影印本，子部，第88册，第73页。</w:t>
      </w:r>
    </w:p>
    <w:p w14:paraId="7DD71E9F">
      <w:pPr>
        <w:spacing w:before="100" w:beforeAutospacing="1" w:after="100" w:afterAutospacing="1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　　（5）地方志</w:t>
      </w:r>
    </w:p>
    <w:p w14:paraId="2244AE3F">
      <w:pPr>
        <w:spacing w:before="100" w:beforeAutospacing="1" w:after="100" w:afterAutospacing="1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　　唐宋时期的地方志多系私人著作，可标注作者；明清以后的地方志一般不标注作者，书名前冠以修纂成书时的年代（年号）；民国地方志，在书名前冠加“民国”二字。新影印（缩印）的地方志可采用新页码。</w:t>
      </w:r>
    </w:p>
    <w:p w14:paraId="2072A6F4">
      <w:pPr>
        <w:spacing w:before="100" w:beforeAutospacing="1" w:after="100" w:afterAutospacing="1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　　示例：</w:t>
      </w:r>
    </w:p>
    <w:p w14:paraId="1CA32D77">
      <w:pPr>
        <w:spacing w:before="100" w:beforeAutospacing="1" w:after="100" w:afterAutospacing="1"/>
        <w:ind w:firstLine="420" w:firstLineChars="200"/>
        <w:rPr>
          <w:rFonts w:hint="eastAsia"/>
          <w:b/>
          <w:bCs/>
          <w:color w:val="auto"/>
          <w:szCs w:val="21"/>
          <w:lang w:eastAsia="zh-CN"/>
        </w:rPr>
      </w:pPr>
      <w:r>
        <w:rPr>
          <w:rFonts w:hint="eastAsia"/>
          <w:color w:val="auto"/>
          <w:szCs w:val="21"/>
        </w:rPr>
        <w:t>　　</w:t>
      </w:r>
      <w:r>
        <w:rPr>
          <w:rFonts w:hint="eastAsia"/>
          <w:b/>
          <w:bCs/>
          <w:color w:val="auto"/>
          <w:szCs w:val="21"/>
          <w:lang w:eastAsia="zh-CN"/>
        </w:rPr>
        <w:t>万历《广东通志》卷15《郡县志二·广州府·城池》，《稀见中国地方志汇刊》，中国书店1992年影印本，第42册，第367页。</w:t>
      </w:r>
    </w:p>
    <w:p w14:paraId="47F032BA">
      <w:pPr>
        <w:spacing w:before="100" w:beforeAutospacing="1" w:after="100" w:afterAutospacing="1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　　（6）常用基本典籍</w:t>
      </w:r>
    </w:p>
    <w:p w14:paraId="23F5B948">
      <w:pPr>
        <w:spacing w:before="100" w:beforeAutospacing="1" w:after="100" w:afterAutospacing="1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官修大型典籍以及书名中含有作者姓名的文集可不标注作者，如《论语》《资治通鉴》《全唐文》《册府元龟》《清实录》《四库全书总目提要》《陶渊明集》、</w:t>
      </w:r>
      <w:r>
        <w:rPr>
          <w:rFonts w:hint="eastAsia"/>
          <w:color w:val="auto"/>
          <w:szCs w:val="21"/>
          <w:lang w:eastAsia="zh-Hans"/>
        </w:rPr>
        <w:t>“</w:t>
      </w:r>
      <w:r>
        <w:rPr>
          <w:rFonts w:hint="eastAsia"/>
          <w:color w:val="auto"/>
          <w:szCs w:val="21"/>
        </w:rPr>
        <w:t>二十四史</w:t>
      </w:r>
      <w:r>
        <w:rPr>
          <w:rFonts w:hint="eastAsia"/>
          <w:color w:val="auto"/>
          <w:szCs w:val="21"/>
          <w:lang w:eastAsia="zh-Hans"/>
        </w:rPr>
        <w:t>”</w:t>
      </w:r>
      <w:r>
        <w:rPr>
          <w:rFonts w:hint="eastAsia"/>
          <w:color w:val="auto"/>
          <w:szCs w:val="21"/>
        </w:rPr>
        <w:t>等。</w:t>
      </w:r>
    </w:p>
    <w:p w14:paraId="3CCA1701">
      <w:pPr>
        <w:spacing w:before="100" w:beforeAutospacing="1" w:after="100" w:afterAutospacing="1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　　示例：</w:t>
      </w:r>
    </w:p>
    <w:p w14:paraId="09F5C6FA">
      <w:pPr>
        <w:spacing w:before="100" w:beforeAutospacing="1" w:after="100" w:afterAutospacing="1"/>
        <w:ind w:left="420" w:leftChars="200" w:firstLine="0" w:firstLineChars="0"/>
        <w:rPr>
          <w:rFonts w:hint="eastAsia"/>
          <w:b/>
          <w:bCs/>
          <w:color w:val="auto"/>
          <w:szCs w:val="21"/>
          <w:lang w:eastAsia="zh-CN"/>
        </w:rPr>
      </w:pPr>
      <w:r>
        <w:rPr>
          <w:rFonts w:hint="eastAsia"/>
          <w:color w:val="auto"/>
          <w:szCs w:val="21"/>
        </w:rPr>
        <w:t>　　</w:t>
      </w:r>
      <w:r>
        <w:rPr>
          <w:rFonts w:hint="eastAsia"/>
          <w:b/>
          <w:bCs/>
          <w:color w:val="auto"/>
          <w:szCs w:val="21"/>
          <w:lang w:eastAsia="zh-CN"/>
        </w:rPr>
        <w:t>《旧唐书》卷9《玄宗纪下》，中华书局1975年，第233页。</w:t>
      </w:r>
    </w:p>
    <w:p w14:paraId="18FAABF5">
      <w:pPr>
        <w:spacing w:before="100" w:beforeAutospacing="1" w:after="100" w:afterAutospacing="1"/>
        <w:ind w:left="420" w:leftChars="200" w:firstLine="0" w:firstLineChars="0"/>
        <w:rPr>
          <w:rFonts w:hint="eastAsia"/>
          <w:color w:val="auto"/>
          <w:szCs w:val="21"/>
        </w:rPr>
      </w:pPr>
      <w:r>
        <w:rPr>
          <w:rFonts w:hint="eastAsia"/>
          <w:b/>
          <w:bCs/>
          <w:color w:val="auto"/>
          <w:szCs w:val="21"/>
          <w:lang w:eastAsia="zh-CN"/>
        </w:rPr>
        <w:t>　　《方苞集》卷6《答程夔州书》，上海古籍出版社1983年，上册，第166页。</w:t>
      </w:r>
    </w:p>
    <w:p w14:paraId="000202FE">
      <w:pPr>
        <w:spacing w:before="100" w:beforeAutospacing="1" w:after="100" w:afterAutospacing="1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>　　（7）编年体典籍</w:t>
      </w:r>
    </w:p>
    <w:p w14:paraId="10B28747">
      <w:pPr>
        <w:spacing w:before="100" w:beforeAutospacing="1" w:after="100" w:afterAutospacing="1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  <w:lang w:val="en-US" w:eastAsia="zh-Hans"/>
        </w:rPr>
        <w:t>若</w:t>
      </w:r>
      <w:r>
        <w:rPr>
          <w:rFonts w:hint="eastAsia"/>
          <w:color w:val="auto"/>
          <w:szCs w:val="21"/>
        </w:rPr>
        <w:t>需要，可注出文字所属之年月甲子（日）。</w:t>
      </w:r>
    </w:p>
    <w:p w14:paraId="3545AAD7">
      <w:pPr>
        <w:spacing w:before="100" w:beforeAutospacing="1" w:after="100" w:afterAutospacing="1"/>
        <w:ind w:left="420" w:leftChars="200" w:firstLine="0" w:firstLineChars="0"/>
        <w:rPr>
          <w:rFonts w:hint="eastAsia"/>
          <w:b/>
          <w:bCs/>
          <w:color w:val="auto"/>
          <w:szCs w:val="21"/>
          <w:lang w:eastAsia="zh-CN"/>
        </w:rPr>
      </w:pPr>
      <w:r>
        <w:rPr>
          <w:rFonts w:hint="eastAsia"/>
          <w:b/>
          <w:bCs/>
          <w:color w:val="auto"/>
          <w:szCs w:val="21"/>
          <w:lang w:eastAsia="zh-CN"/>
        </w:rPr>
        <w:t>　　示例：</w:t>
      </w:r>
    </w:p>
    <w:p w14:paraId="49DA22AF">
      <w:pPr>
        <w:spacing w:before="100" w:beforeAutospacing="1" w:after="100" w:afterAutospacing="1"/>
        <w:ind w:left="420" w:leftChars="200" w:firstLine="422" w:firstLineChars="200"/>
        <w:rPr>
          <w:rFonts w:hint="eastAsia"/>
          <w:b/>
          <w:bCs/>
          <w:color w:val="auto"/>
          <w:szCs w:val="21"/>
          <w:lang w:eastAsia="zh-CN"/>
        </w:rPr>
      </w:pPr>
      <w:r>
        <w:rPr>
          <w:rFonts w:hint="eastAsia"/>
          <w:b/>
          <w:bCs/>
          <w:color w:val="auto"/>
          <w:szCs w:val="21"/>
          <w:lang w:eastAsia="zh-CN"/>
        </w:rPr>
        <w:t>《清德宗实录》卷435，光绪二十四年十二月上，中华书局1987年影印本，第6册，第727页。</w:t>
      </w:r>
    </w:p>
    <w:p w14:paraId="2847C786">
      <w:pPr>
        <w:spacing w:before="100" w:beforeAutospacing="1" w:after="100" w:afterAutospacing="1"/>
        <w:ind w:firstLine="840" w:firstLineChars="400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（8）佛教经典</w:t>
      </w:r>
    </w:p>
    <w:p w14:paraId="6658CC96">
      <w:pPr>
        <w:spacing w:before="100" w:beforeAutospacing="1" w:after="100" w:afterAutospacing="1"/>
        <w:ind w:left="420" w:leftChars="200" w:firstLine="0" w:firstLineChars="0"/>
        <w:rPr>
          <w:rFonts w:hint="eastAsia"/>
          <w:b/>
          <w:bCs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 xml:space="preserve">    </w:t>
      </w:r>
      <w:r>
        <w:rPr>
          <w:rFonts w:hint="eastAsia"/>
          <w:b/>
          <w:bCs/>
          <w:color w:val="auto"/>
          <w:szCs w:val="21"/>
          <w:lang w:val="en-US" w:eastAsia="zh-CN"/>
        </w:rPr>
        <w:t xml:space="preserve"> 佛经：《妙法莲花经》卷1，《大正藏》第9册，第2页。</w:t>
      </w:r>
    </w:p>
    <w:p w14:paraId="6EF7D309">
      <w:pPr>
        <w:spacing w:before="100" w:beforeAutospacing="1" w:after="100" w:afterAutospacing="1"/>
        <w:ind w:firstLine="1054" w:firstLineChars="500"/>
        <w:rPr>
          <w:rFonts w:hint="default"/>
          <w:b/>
          <w:bCs/>
          <w:color w:val="auto"/>
          <w:szCs w:val="21"/>
          <w:lang w:val="en-US" w:eastAsia="zh-CN"/>
        </w:rPr>
      </w:pPr>
      <w:r>
        <w:rPr>
          <w:rFonts w:hint="eastAsia"/>
          <w:b/>
          <w:bCs/>
          <w:color w:val="auto"/>
          <w:szCs w:val="21"/>
          <w:lang w:val="en-US" w:eastAsia="zh-CN"/>
        </w:rPr>
        <w:t>论书：</w:t>
      </w:r>
      <w:r>
        <w:rPr>
          <w:rFonts w:hint="eastAsia"/>
          <w:b/>
          <w:bCs/>
          <w:color w:val="auto"/>
          <w:szCs w:val="21"/>
          <w:lang w:eastAsia="zh-CN"/>
        </w:rPr>
        <w:t>[</w:t>
      </w:r>
      <w:r>
        <w:rPr>
          <w:rFonts w:hint="eastAsia"/>
          <w:b/>
          <w:bCs/>
          <w:color w:val="auto"/>
          <w:szCs w:val="21"/>
          <w:lang w:val="en-US" w:eastAsia="zh-CN"/>
        </w:rPr>
        <w:t>印度</w:t>
      </w:r>
      <w:r>
        <w:rPr>
          <w:rFonts w:hint="eastAsia"/>
          <w:b/>
          <w:bCs/>
          <w:color w:val="auto"/>
          <w:szCs w:val="21"/>
          <w:lang w:eastAsia="zh-CN"/>
        </w:rPr>
        <w:t>]</w:t>
      </w:r>
      <w:r>
        <w:rPr>
          <w:rFonts w:hint="eastAsia"/>
          <w:b/>
          <w:bCs/>
          <w:color w:val="auto"/>
          <w:szCs w:val="21"/>
          <w:lang w:val="en-US" w:eastAsia="zh-CN"/>
        </w:rPr>
        <w:t>龙树《中论》卷1，《大正藏》第30册，第3页。</w:t>
      </w:r>
    </w:p>
    <w:p w14:paraId="4D0A5754">
      <w:pPr>
        <w:spacing w:before="100" w:beforeAutospacing="1" w:after="100" w:afterAutospacing="1"/>
        <w:ind w:left="420" w:leftChars="200" w:firstLine="0" w:firstLineChars="0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b/>
          <w:bCs/>
          <w:color w:val="auto"/>
          <w:szCs w:val="21"/>
          <w:lang w:val="en-US" w:eastAsia="zh-CN"/>
        </w:rPr>
        <w:t xml:space="preserve">     中国撰述：（隋）智顗：《法华玄义》卷1，《大正藏》第33册，第109页。</w:t>
      </w:r>
    </w:p>
    <w:p w14:paraId="6AC9DBEC">
      <w:pPr>
        <w:spacing w:before="100" w:beforeAutospacing="1" w:after="100" w:afterAutospacing="1"/>
        <w:ind w:firstLine="840" w:firstLineChars="400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（9）道教经典</w:t>
      </w:r>
    </w:p>
    <w:p w14:paraId="7725765C">
      <w:pPr>
        <w:spacing w:before="100" w:beforeAutospacing="1" w:after="100" w:afterAutospacing="1"/>
        <w:ind w:left="420" w:leftChars="200" w:firstLine="211" w:firstLineChars="100"/>
        <w:rPr>
          <w:rFonts w:hint="default"/>
          <w:b/>
          <w:bCs/>
          <w:color w:val="auto"/>
          <w:szCs w:val="21"/>
          <w:lang w:val="en-US" w:eastAsia="zh-CN"/>
        </w:rPr>
      </w:pPr>
      <w:r>
        <w:rPr>
          <w:rFonts w:hint="default"/>
          <w:b/>
          <w:bCs/>
          <w:color w:val="auto"/>
          <w:szCs w:val="21"/>
          <w:lang w:val="en-US" w:eastAsia="zh-CN"/>
        </w:rPr>
        <w:t>《太上洞神玄妙白猿真经》，《道藏》第 18 册，文物出版社、上海书店出版社、天津古籍出版社 1988年，第 605 页。</w:t>
      </w:r>
    </w:p>
    <w:p w14:paraId="59583B10">
      <w:pPr>
        <w:numPr>
          <w:ilvl w:val="0"/>
          <w:numId w:val="0"/>
        </w:numPr>
        <w:spacing w:line="500" w:lineRule="exact"/>
        <w:ind w:firstLine="480" w:firstLineChars="200"/>
        <w:rPr>
          <w:rFonts w:hint="eastAsia" w:ascii="Times New Roman" w:hAnsi="Times New Roman" w:eastAsia="楷体" w:cs="Times New Roman"/>
          <w:color w:val="auto"/>
          <w:sz w:val="24"/>
          <w:lang w:val="en-US" w:eastAsia="zh-CN"/>
        </w:rPr>
      </w:pPr>
    </w:p>
    <w:p w14:paraId="517269DF">
      <w:pPr>
        <w:spacing w:before="100" w:beforeAutospacing="1" w:after="100" w:afterAutospacing="1"/>
        <w:ind w:firstLine="422" w:firstLineChars="200"/>
        <w:rPr>
          <w:color w:val="auto"/>
        </w:rPr>
      </w:pPr>
      <w:r>
        <w:rPr>
          <w:rFonts w:hint="eastAsia"/>
          <w:b/>
          <w:bCs/>
          <w:color w:val="auto"/>
          <w:szCs w:val="21"/>
        </w:rPr>
        <w:t>（二）连续出版物</w:t>
      </w:r>
    </w:p>
    <w:p w14:paraId="5E06B129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1.期刊</w:t>
      </w:r>
    </w:p>
    <w:p w14:paraId="0E4376B5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标注顺序：责任者/文献题名/期刊名/年期(或卷期，出版年月)。</w:t>
      </w:r>
    </w:p>
    <w:p w14:paraId="21DE54C1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刊名与其他期刊相同，也可括注出版地点，附于刊名后，以示区别；同一种期刊有两个以上的版别时，引用时须注明版别。</w:t>
      </w:r>
    </w:p>
    <w:p w14:paraId="49DD538A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示例：</w:t>
      </w:r>
    </w:p>
    <w:p w14:paraId="170773BE">
      <w:pPr>
        <w:spacing w:before="100" w:beforeAutospacing="1" w:after="100" w:afterAutospacing="1"/>
        <w:ind w:firstLine="422" w:firstLineChars="200"/>
        <w:rPr>
          <w:color w:val="auto"/>
        </w:rPr>
      </w:pPr>
      <w:r>
        <w:rPr>
          <w:rFonts w:hint="eastAsia"/>
          <w:b/>
          <w:bCs/>
          <w:color w:val="auto"/>
          <w:szCs w:val="21"/>
        </w:rPr>
        <w:t>卢国龙：《“绝地天通”政策的人文解释空间》，《世界宗教研究》2010年第6期。</w:t>
      </w:r>
    </w:p>
    <w:p w14:paraId="677D0454">
      <w:pPr>
        <w:spacing w:before="100" w:beforeAutospacing="1" w:after="100" w:afterAutospacing="1"/>
        <w:ind w:firstLine="422" w:firstLineChars="200"/>
        <w:rPr>
          <w:color w:val="auto"/>
        </w:rPr>
      </w:pPr>
      <w:r>
        <w:rPr>
          <w:rFonts w:hint="eastAsia"/>
          <w:b/>
          <w:bCs/>
          <w:color w:val="auto"/>
          <w:szCs w:val="21"/>
        </w:rPr>
        <w:t>（三）未刊文献</w:t>
      </w:r>
    </w:p>
    <w:p w14:paraId="7B1B2884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1.学位论文、会议论文等</w:t>
      </w:r>
    </w:p>
    <w:p w14:paraId="1292E70D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标注顺序：责任者/文献标题/论文性质/地点或学校/文献形成时间/页码。</w:t>
      </w:r>
    </w:p>
    <w:p w14:paraId="69F2F600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示例：</w:t>
      </w:r>
    </w:p>
    <w:p w14:paraId="1061D008">
      <w:pPr>
        <w:spacing w:before="100" w:beforeAutospacing="1" w:after="100" w:afterAutospacing="1"/>
        <w:ind w:firstLine="422" w:firstLineChars="200"/>
        <w:rPr>
          <w:b/>
          <w:bCs/>
          <w:color w:val="auto"/>
        </w:rPr>
      </w:pPr>
      <w:r>
        <w:rPr>
          <w:rFonts w:hint="eastAsia"/>
          <w:b/>
          <w:bCs/>
          <w:color w:val="auto"/>
          <w:szCs w:val="21"/>
        </w:rPr>
        <w:t>方明东：《罗隆基政治思想研究（1913-1949）》，博士学位论文，北京师范大学历史系2000年，第67页。</w:t>
      </w:r>
    </w:p>
    <w:p w14:paraId="2CA0044A">
      <w:pPr>
        <w:spacing w:before="100" w:beforeAutospacing="1" w:after="100" w:afterAutospacing="1"/>
        <w:ind w:left="420" w:leftChars="200" w:firstLine="0" w:firstLineChars="0"/>
        <w:rPr>
          <w:rFonts w:hint="eastAsia"/>
          <w:b/>
          <w:bCs/>
          <w:color w:val="auto"/>
          <w:szCs w:val="21"/>
          <w:lang w:eastAsia="zh-CN"/>
        </w:rPr>
      </w:pPr>
      <w:r>
        <w:rPr>
          <w:rFonts w:hint="eastAsia"/>
          <w:b/>
          <w:bCs/>
          <w:color w:val="auto"/>
          <w:szCs w:val="21"/>
          <w:lang w:eastAsia="zh-CN"/>
        </w:rPr>
        <w:t>任东来：《对国际体制和国际制度的理解和翻译》，《全球化与亚太区域化国际研讨会论文</w:t>
      </w:r>
      <w:r>
        <w:rPr>
          <w:rFonts w:hint="eastAsia"/>
          <w:b/>
          <w:bCs/>
          <w:color w:val="auto"/>
          <w:szCs w:val="21"/>
          <w:lang w:val="en-US" w:eastAsia="zh-CN"/>
        </w:rPr>
        <w:t>集</w:t>
      </w:r>
      <w:r>
        <w:rPr>
          <w:rFonts w:hint="eastAsia"/>
          <w:b/>
          <w:bCs/>
          <w:color w:val="auto"/>
          <w:szCs w:val="21"/>
          <w:lang w:eastAsia="zh-CN"/>
        </w:rPr>
        <w:t>》（天津·2000年）。</w:t>
      </w:r>
    </w:p>
    <w:p w14:paraId="5713B87B">
      <w:pPr>
        <w:spacing w:before="100" w:beforeAutospacing="1" w:after="100" w:afterAutospacing="1"/>
        <w:ind w:firstLine="422" w:firstLineChars="200"/>
        <w:rPr>
          <w:color w:val="auto"/>
        </w:rPr>
      </w:pPr>
      <w:r>
        <w:rPr>
          <w:b/>
          <w:bCs/>
          <w:color w:val="auto"/>
          <w:szCs w:val="21"/>
        </w:rPr>
        <w:t> </w:t>
      </w:r>
      <w:r>
        <w:rPr>
          <w:rFonts w:hint="eastAsia"/>
          <w:b/>
          <w:bCs/>
          <w:color w:val="auto"/>
          <w:szCs w:val="21"/>
        </w:rPr>
        <w:t>（四）电子文献</w:t>
      </w:r>
    </w:p>
    <w:p w14:paraId="0AD6D4F1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电子文献包括以数码方式记录的所有文献（含以胶片、磁带等介质记录的电影、录影、录音等音像文献）。</w:t>
      </w:r>
    </w:p>
    <w:p w14:paraId="46916F75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标注项目与顺序：责任者／电子文献题名／获取和访问路径／阅读时间。</w:t>
      </w:r>
      <w:r>
        <w:rPr>
          <w:color w:val="auto"/>
        </w:rPr>
        <w:t> </w:t>
      </w:r>
    </w:p>
    <w:p w14:paraId="2A61FD6A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示例：</w:t>
      </w:r>
    </w:p>
    <w:p w14:paraId="5EB09719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卓新平：《宗教与文化战略》，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"http://www.mzb.com.cn/html/Home/report/371961-1.htm" </w:instrText>
      </w:r>
      <w:r>
        <w:rPr>
          <w:color w:val="auto"/>
        </w:rPr>
        <w:fldChar w:fldCharType="separate"/>
      </w:r>
      <w:r>
        <w:rPr>
          <w:rStyle w:val="5"/>
          <w:rFonts w:hint="eastAsia"/>
          <w:color w:val="auto"/>
          <w:szCs w:val="21"/>
        </w:rPr>
        <w:t>http://www.mzb.com.cn/html/Home/report/371961-1.htm</w:t>
      </w:r>
      <w:r>
        <w:rPr>
          <w:rStyle w:val="5"/>
          <w:rFonts w:hint="eastAsia"/>
          <w:color w:val="auto"/>
          <w:szCs w:val="21"/>
        </w:rPr>
        <w:fldChar w:fldCharType="end"/>
      </w:r>
      <w:r>
        <w:rPr>
          <w:rFonts w:hint="eastAsia"/>
          <w:color w:val="auto"/>
          <w:szCs w:val="21"/>
          <w:lang w:eastAsia="zh-CN"/>
        </w:rPr>
        <w:t>。</w:t>
      </w:r>
      <w:r>
        <w:rPr>
          <w:rFonts w:hint="eastAsia"/>
          <w:color w:val="auto"/>
          <w:szCs w:val="21"/>
        </w:rPr>
        <w:t>（阅读时间：2014年2月2日）</w:t>
      </w:r>
    </w:p>
    <w:p w14:paraId="64B94BD3">
      <w:pPr>
        <w:spacing w:before="100" w:beforeAutospacing="1" w:after="100" w:afterAutospacing="1"/>
        <w:ind w:firstLine="422" w:firstLineChars="200"/>
        <w:rPr>
          <w:color w:val="auto"/>
        </w:rPr>
      </w:pPr>
      <w:r>
        <w:rPr>
          <w:b/>
          <w:bCs/>
          <w:color w:val="auto"/>
          <w:szCs w:val="21"/>
        </w:rPr>
        <w:t> </w:t>
      </w:r>
      <w:r>
        <w:rPr>
          <w:rFonts w:hint="eastAsia"/>
          <w:b/>
          <w:bCs/>
          <w:color w:val="auto"/>
          <w:szCs w:val="21"/>
        </w:rPr>
        <w:t>（五）外文文献</w:t>
      </w:r>
    </w:p>
    <w:p w14:paraId="2E75C4C6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1.引证外文文献，原则上使用该语种通行的引证标注方式。</w:t>
      </w:r>
      <w:r>
        <w:rPr>
          <w:color w:val="auto"/>
        </w:rPr>
        <w:t> </w:t>
      </w:r>
    </w:p>
    <w:p w14:paraId="26FC5C01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2.本规范仅列举英文文献的标注方式如下：</w:t>
      </w:r>
    </w:p>
    <w:p w14:paraId="39898131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（1）专著</w:t>
      </w:r>
    </w:p>
    <w:p w14:paraId="3320992F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标注顺序：责任者与责任方式/文献题名/出版地点/出版者/出版时间/页码。文献题名用斜体，出版地点后用英文冒号，其余各标注项目之间，用英文逗点隔开，下同。</w:t>
      </w:r>
    </w:p>
    <w:p w14:paraId="68FC335B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示例：</w:t>
      </w:r>
    </w:p>
    <w:p w14:paraId="4E8AF20D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b w:val="0"/>
          <w:bCs w:val="0"/>
          <w:color w:val="auto"/>
          <w:szCs w:val="21"/>
        </w:rPr>
        <w:t>Peter Brooks,</w:t>
      </w:r>
      <w:r>
        <w:rPr>
          <w:rFonts w:hint="eastAsia"/>
          <w:b w:val="0"/>
          <w:bCs w:val="0"/>
          <w:i/>
          <w:iCs/>
          <w:color w:val="auto"/>
          <w:szCs w:val="21"/>
        </w:rPr>
        <w:t xml:space="preserve"> Troubling Confessions: Speaking Guilt in Law and Literature,</w:t>
      </w:r>
      <w:r>
        <w:rPr>
          <w:rFonts w:hint="eastAsia"/>
          <w:b w:val="0"/>
          <w:bCs w:val="0"/>
          <w:color w:val="auto"/>
          <w:szCs w:val="21"/>
        </w:rPr>
        <w:t xml:space="preserve"> Chicago: University of Chicago Press, 2000, p.48. </w:t>
      </w:r>
    </w:p>
    <w:p w14:paraId="1DFF1BB4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（2）译著</w:t>
      </w:r>
    </w:p>
    <w:p w14:paraId="6472F0F3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标注顺序：责任者/文献题名/译者/出版地点/出版者/出版时间/页码。</w:t>
      </w:r>
    </w:p>
    <w:p w14:paraId="2D655F04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示例：</w:t>
      </w:r>
    </w:p>
    <w:p w14:paraId="5E272F9D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 xml:space="preserve">M. Polo, </w:t>
      </w:r>
      <w:r>
        <w:rPr>
          <w:rFonts w:hint="eastAsia"/>
          <w:i/>
          <w:iCs/>
          <w:color w:val="auto"/>
          <w:szCs w:val="21"/>
        </w:rPr>
        <w:t>The Travels of Marco Polo</w:t>
      </w:r>
      <w:r>
        <w:rPr>
          <w:rFonts w:hint="eastAsia"/>
          <w:color w:val="auto"/>
          <w:szCs w:val="21"/>
        </w:rPr>
        <w:t>, trans. by William Marsden, Hertfordshire: Cumberland House,1997, pp.55, 88.</w:t>
      </w:r>
    </w:p>
    <w:p w14:paraId="25951E91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（3）期刊析出文献</w:t>
      </w:r>
    </w:p>
    <w:p w14:paraId="4E1E1A3C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标注顺序：责任者/析出文献题名/期刊名/卷册及出版时间/页码。析出文献题名用英文引号标识，期刊名用斜体，下同。</w:t>
      </w:r>
    </w:p>
    <w:p w14:paraId="29AB9E6B">
      <w:pPr>
        <w:spacing w:before="100" w:beforeAutospacing="1" w:after="100" w:afterAutospacing="1"/>
        <w:ind w:firstLine="420" w:firstLineChars="200"/>
        <w:rPr>
          <w:color w:val="auto"/>
        </w:rPr>
      </w:pPr>
      <w:r>
        <w:rPr>
          <w:rFonts w:hint="eastAsia"/>
          <w:color w:val="auto"/>
          <w:szCs w:val="21"/>
        </w:rPr>
        <w:t>示例：</w:t>
      </w:r>
    </w:p>
    <w:p w14:paraId="0A6BF5E3">
      <w:pPr>
        <w:spacing w:before="100" w:beforeAutospacing="1" w:after="100" w:afterAutospacing="1"/>
        <w:ind w:firstLine="420" w:firstLineChars="200"/>
        <w:rPr>
          <w:rFonts w:hint="eastAsia"/>
          <w:color w:val="auto"/>
          <w:szCs w:val="21"/>
        </w:rPr>
      </w:pPr>
      <w:r>
        <w:rPr>
          <w:rFonts w:hint="eastAsia"/>
          <w:color w:val="auto"/>
          <w:szCs w:val="21"/>
        </w:rPr>
        <w:t xml:space="preserve">Heath B. Chamberlain, </w:t>
      </w:r>
      <w:r>
        <w:rPr>
          <w:rFonts w:hint="default"/>
          <w:color w:val="auto"/>
          <w:szCs w:val="21"/>
          <w:lang w:val="en-US" w:eastAsia="zh-CN"/>
        </w:rPr>
        <w:t>“</w:t>
      </w:r>
      <w:r>
        <w:rPr>
          <w:rFonts w:hint="eastAsia"/>
          <w:color w:val="auto"/>
          <w:szCs w:val="21"/>
        </w:rPr>
        <w:t>On the Search for Civil Society in China</w:t>
      </w:r>
      <w:r>
        <w:rPr>
          <w:rFonts w:hint="default"/>
          <w:color w:val="auto"/>
          <w:szCs w:val="21"/>
          <w:lang w:val="en-US" w:eastAsia="zh-CN"/>
        </w:rPr>
        <w:t>”</w:t>
      </w:r>
      <w:r>
        <w:rPr>
          <w:rFonts w:hint="eastAsia"/>
          <w:color w:val="auto"/>
          <w:szCs w:val="21"/>
        </w:rPr>
        <w:t xml:space="preserve">, </w:t>
      </w:r>
      <w:r>
        <w:rPr>
          <w:rFonts w:hint="eastAsia"/>
          <w:i/>
          <w:iCs/>
          <w:color w:val="auto"/>
          <w:szCs w:val="21"/>
        </w:rPr>
        <w:t>Modern China</w:t>
      </w:r>
      <w:r>
        <w:rPr>
          <w:rFonts w:hint="eastAsia"/>
          <w:color w:val="auto"/>
          <w:szCs w:val="21"/>
        </w:rPr>
        <w:t>, vol. 19, no. 2 (April 1993),pp.199-215.</w:t>
      </w:r>
    </w:p>
    <w:p w14:paraId="05B1AA9B">
      <w:pPr>
        <w:spacing w:before="100" w:beforeAutospacing="1" w:after="100" w:afterAutospacing="1"/>
        <w:ind w:firstLine="420" w:firstLineChars="200"/>
        <w:rPr>
          <w:rFonts w:hint="eastAsia"/>
          <w:color w:val="auto"/>
          <w:szCs w:val="21"/>
        </w:rPr>
      </w:pPr>
    </w:p>
    <w:p w14:paraId="18CBBFD8">
      <w:pPr>
        <w:numPr>
          <w:ilvl w:val="0"/>
          <w:numId w:val="1"/>
        </w:numPr>
        <w:spacing w:before="100" w:beforeAutospacing="1" w:after="100" w:afterAutospacing="1"/>
        <w:ind w:firstLine="420" w:firstLineChars="200"/>
        <w:rPr>
          <w:rFonts w:hint="eastAsia"/>
          <w:color w:val="auto"/>
          <w:szCs w:val="21"/>
          <w:lang w:eastAsia="zh-CN"/>
        </w:rPr>
      </w:pPr>
      <w:r>
        <w:rPr>
          <w:rFonts w:hint="eastAsia"/>
          <w:color w:val="auto"/>
          <w:szCs w:val="21"/>
          <w:lang w:eastAsia="zh-CN"/>
        </w:rPr>
        <w:t>图片与表格</w:t>
      </w:r>
    </w:p>
    <w:p w14:paraId="75E13170">
      <w:pPr>
        <w:numPr>
          <w:ilvl w:val="0"/>
          <w:numId w:val="2"/>
        </w:numPr>
        <w:spacing w:before="100" w:beforeAutospacing="1" w:after="100" w:afterAutospacing="1"/>
        <w:ind w:left="420" w:leftChars="0" w:firstLine="0" w:firstLineChars="0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文中所附图片尽量从简，不宜太多，以5-7帧为宜，每帧应在1m以上，同时标注序号及名称。图片以jpg格式单独打包压缩发送。</w:t>
      </w:r>
    </w:p>
    <w:p w14:paraId="515DD10A">
      <w:pPr>
        <w:widowControl w:val="0"/>
        <w:numPr>
          <w:ilvl w:val="0"/>
          <w:numId w:val="0"/>
        </w:numPr>
        <w:spacing w:before="100" w:beforeAutospacing="1" w:after="100" w:afterAutospacing="1"/>
        <w:jc w:val="center"/>
        <w:rPr>
          <w:rFonts w:hint="eastAsia"/>
          <w:color w:val="auto"/>
          <w:szCs w:val="21"/>
          <w:lang w:val="en-US" w:eastAsia="zh-CN"/>
        </w:rPr>
      </w:pPr>
      <w:r>
        <w:rPr>
          <w:color w:val="auto"/>
        </w:rPr>
        <w:drawing>
          <wp:inline distT="0" distB="0" distL="114300" distR="114300">
            <wp:extent cx="4048125" cy="1465580"/>
            <wp:effectExtent l="0" t="0" r="317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4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B3D9E">
      <w:pPr>
        <w:numPr>
          <w:ilvl w:val="0"/>
          <w:numId w:val="2"/>
        </w:numPr>
        <w:spacing w:before="100" w:beforeAutospacing="1" w:after="100" w:afterAutospacing="1"/>
        <w:ind w:left="420" w:leftChars="0" w:firstLine="0" w:firstLineChars="0"/>
        <w:rPr>
          <w:rFonts w:hint="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val="en-US" w:eastAsia="zh-CN"/>
        </w:rPr>
        <w:t>表格尽量从简，每个表格上附“表1”“表2”以示区別与次序。</w:t>
      </w:r>
    </w:p>
    <w:p w14:paraId="0842E4E2">
      <w:pPr>
        <w:numPr>
          <w:ilvl w:val="0"/>
          <w:numId w:val="0"/>
        </w:numPr>
        <w:spacing w:before="100" w:beforeAutospacing="1" w:after="100" w:afterAutospacing="1"/>
        <w:ind w:left="420" w:leftChars="0"/>
        <w:jc w:val="center"/>
        <w:rPr>
          <w:rFonts w:hint="eastAsia"/>
          <w:color w:val="auto"/>
          <w:szCs w:val="21"/>
        </w:rPr>
      </w:pPr>
      <w:r>
        <w:rPr>
          <w:color w:val="auto"/>
        </w:rPr>
        <w:drawing>
          <wp:inline distT="0" distB="0" distL="114300" distR="114300">
            <wp:extent cx="3510915" cy="3427730"/>
            <wp:effectExtent l="0" t="0" r="6985" b="12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0915" cy="342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3710FB"/>
    <w:multiLevelType w:val="singleLevel"/>
    <w:tmpl w:val="9B3710FB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20" w:leftChars="0" w:firstLine="0" w:firstLineChars="0"/>
      </w:pPr>
    </w:lvl>
  </w:abstractNum>
  <w:abstractNum w:abstractNumId="1">
    <w:nsid w:val="0B28EF29"/>
    <w:multiLevelType w:val="singleLevel"/>
    <w:tmpl w:val="0B28EF29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4NzJjZmQ1YzE4MDQxMjcxMDczYTAzNzU0OTBkOWYifQ=="/>
  </w:docVars>
  <w:rsids>
    <w:rsidRoot w:val="004C0161"/>
    <w:rsid w:val="002A0C8D"/>
    <w:rsid w:val="004C0161"/>
    <w:rsid w:val="007740E1"/>
    <w:rsid w:val="007E6A47"/>
    <w:rsid w:val="00801737"/>
    <w:rsid w:val="00895624"/>
    <w:rsid w:val="00A51ED6"/>
    <w:rsid w:val="00B42434"/>
    <w:rsid w:val="00B7022D"/>
    <w:rsid w:val="00C507A0"/>
    <w:rsid w:val="00C54382"/>
    <w:rsid w:val="00CF5D9A"/>
    <w:rsid w:val="00E45A69"/>
    <w:rsid w:val="00F8345E"/>
    <w:rsid w:val="04090D29"/>
    <w:rsid w:val="0A5C7FD7"/>
    <w:rsid w:val="0AA224B6"/>
    <w:rsid w:val="0B6F751C"/>
    <w:rsid w:val="0F127BA1"/>
    <w:rsid w:val="141D29F9"/>
    <w:rsid w:val="1CD33DD0"/>
    <w:rsid w:val="211A411E"/>
    <w:rsid w:val="24C27867"/>
    <w:rsid w:val="3A703F1A"/>
    <w:rsid w:val="3C206324"/>
    <w:rsid w:val="40311093"/>
    <w:rsid w:val="4125032A"/>
    <w:rsid w:val="472D26D6"/>
    <w:rsid w:val="4B5C1E25"/>
    <w:rsid w:val="4E8C54E5"/>
    <w:rsid w:val="4F9E10A2"/>
    <w:rsid w:val="5541774C"/>
    <w:rsid w:val="5A292701"/>
    <w:rsid w:val="5C250D3B"/>
    <w:rsid w:val="5F93777B"/>
    <w:rsid w:val="6074556A"/>
    <w:rsid w:val="67576E63"/>
    <w:rsid w:val="6CB72717"/>
    <w:rsid w:val="700F3356"/>
    <w:rsid w:val="765A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xw_first_biaoti"/>
    <w:basedOn w:val="4"/>
    <w:qFormat/>
    <w:uiPriority w:val="0"/>
  </w:style>
  <w:style w:type="character" w:customStyle="1" w:styleId="7">
    <w:name w:val="xw_second_biaoti"/>
    <w:basedOn w:val="4"/>
    <w:qFormat/>
    <w:uiPriority w:val="0"/>
  </w:style>
  <w:style w:type="character" w:customStyle="1" w:styleId="8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3601</Words>
  <Characters>4087</Characters>
  <Lines>21</Lines>
  <Paragraphs>6</Paragraphs>
  <TotalTime>3</TotalTime>
  <ScaleCrop>false</ScaleCrop>
  <LinksUpToDate>false</LinksUpToDate>
  <CharactersWithSpaces>4286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2020-12-25T00:43:00Z</dcterms:created>
  <dc:creator>wenhua</dc:creator>
  <cp:lastModifiedBy>KITSCH……</cp:lastModifiedBy>
  <cp:lastPrinted>2021-01-19T03:24:00Z</cp:lastPrinted>
  <dcterms:modified xsi:type="dcterms:W3CDTF">2026-04-01T08:04:33Z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CD9B57CD756A42E2BA862A65713ADDE5_13</vt:lpwstr>
  </property>
  <property fmtid="{D5CDD505-2E9C-101B-9397-08002B2CF9AE}" pid="4" name="KSOTemplateDocerSaveRecord">
    <vt:lpwstr>eyJoZGlkIjoiNGE2YWFiZmExNzk3YmY4NTlhNDNmYzU0YWM2MWVkYzgiLCJ1c2VySWQiOiIyMTMyOTA0MDMifQ==</vt:lpwstr>
  </property>
</Properties>
</file>